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7A" w:rsidRPr="00DB2D35" w:rsidRDefault="00A84A7A" w:rsidP="00A84A7A">
      <w:pPr>
        <w:pStyle w:val="Heading1"/>
        <w:rPr>
          <w:rFonts w:cstheme="minorHAnsi"/>
          <w:b/>
          <w:sz w:val="48"/>
          <w:szCs w:val="44"/>
        </w:rPr>
      </w:pPr>
      <w:bookmarkStart w:id="0" w:name="_Toc119600626"/>
      <w:bookmarkStart w:id="1" w:name="_Toc68813535"/>
      <w:r w:rsidRPr="00DB2D35">
        <w:rPr>
          <w:rFonts w:cstheme="minorHAnsi"/>
          <w:b/>
          <w:sz w:val="48"/>
          <w:szCs w:val="44"/>
        </w:rPr>
        <w:t>FORM B. FINANCIAL PROPOSAL</w:t>
      </w:r>
      <w:bookmarkEnd w:id="0"/>
    </w:p>
    <w:bookmarkEnd w:id="1"/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4A7A" w:rsidRPr="00DB2D35" w:rsidRDefault="00A84A7A" w:rsidP="00A84A7A">
      <w:pPr>
        <w:widowControl w:val="0"/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  <w:bookmarkStart w:id="2" w:name="_Toc52446182"/>
      <w:bookmarkStart w:id="3" w:name="_Toc68784978"/>
      <w:r w:rsidRPr="00DB2D35">
        <w:rPr>
          <w:rFonts w:cstheme="minorHAnsi"/>
          <w:b/>
          <w:bCs/>
        </w:rPr>
        <w:t xml:space="preserve">B1. DETAILS REGARDING THE PREPARATION OF THE FINANCIAL OFFER </w:t>
      </w:r>
      <w:bookmarkEnd w:id="2"/>
      <w:bookmarkEnd w:id="3"/>
    </w:p>
    <w:p w:rsidR="00A84A7A" w:rsidRPr="00DB2D35" w:rsidRDefault="00A84A7A" w:rsidP="00A84A7A">
      <w:pPr>
        <w:widowControl w:val="0"/>
        <w:shd w:val="clear" w:color="auto" w:fill="FFFFFF" w:themeFill="background1"/>
        <w:spacing w:after="0" w:line="240" w:lineRule="auto"/>
        <w:rPr>
          <w:rFonts w:cstheme="minorHAnsi"/>
          <w:b/>
          <w:bCs/>
          <w:iCs/>
          <w:spacing w:val="-3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  <w:r w:rsidRPr="00DB2D35">
        <w:rPr>
          <w:rFonts w:cstheme="minorHAnsi"/>
          <w:snapToGrid w:val="0"/>
        </w:rPr>
        <w:t xml:space="preserve">The Applicant must prepare the Financial </w:t>
      </w:r>
      <w:r>
        <w:rPr>
          <w:rFonts w:cstheme="minorHAnsi"/>
          <w:snapToGrid w:val="0"/>
        </w:rPr>
        <w:t>O</w:t>
      </w:r>
      <w:r w:rsidRPr="00DB2D35">
        <w:rPr>
          <w:rFonts w:cstheme="minorHAnsi"/>
          <w:snapToGrid w:val="0"/>
        </w:rPr>
        <w:t xml:space="preserve">ffer following the format below and submit it in a separate email from the Technical </w:t>
      </w:r>
      <w:r>
        <w:rPr>
          <w:rFonts w:cstheme="minorHAnsi"/>
          <w:snapToGrid w:val="0"/>
        </w:rPr>
        <w:t>O</w:t>
      </w:r>
      <w:r w:rsidRPr="00DB2D35">
        <w:rPr>
          <w:rFonts w:cstheme="minorHAnsi"/>
          <w:snapToGrid w:val="0"/>
        </w:rPr>
        <w:t>ffer as indicated in the Instructions for Applicants. Any financial information provided in the technical proposal may disqualify the applicant.</w:t>
      </w: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  <w:r w:rsidRPr="00DB2D35">
        <w:rPr>
          <w:rFonts w:cstheme="minorHAnsi"/>
          <w:snapToGrid w:val="0"/>
        </w:rPr>
        <w:t>Make sure the financial proposal is password protected. The password will not be disclosed unless requested in writing by the Soros Foundation Moldova.</w:t>
      </w: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b/>
          <w:snapToGrid w:val="0"/>
        </w:rPr>
      </w:pPr>
      <w:r w:rsidRPr="00DB2D35">
        <w:rPr>
          <w:rFonts w:cstheme="minorHAnsi"/>
          <w:b/>
          <w:snapToGrid w:val="0"/>
        </w:rPr>
        <w:t>COSTS</w:t>
      </w:r>
    </w:p>
    <w:p w:rsidR="00A84A7A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  <w:r w:rsidRPr="00DB2D35">
        <w:rPr>
          <w:rFonts w:cstheme="minorHAnsi"/>
          <w:snapToGrid w:val="0"/>
        </w:rPr>
        <w:t xml:space="preserve">The </w:t>
      </w:r>
      <w:r>
        <w:rPr>
          <w:rFonts w:cstheme="minorHAnsi"/>
          <w:snapToGrid w:val="0"/>
        </w:rPr>
        <w:t>F</w:t>
      </w:r>
      <w:r w:rsidRPr="00DB2D35">
        <w:rPr>
          <w:rFonts w:cstheme="minorHAnsi"/>
          <w:snapToGrid w:val="0"/>
        </w:rPr>
        <w:t xml:space="preserve">inancial </w:t>
      </w:r>
      <w:r>
        <w:rPr>
          <w:rFonts w:cstheme="minorHAnsi"/>
          <w:snapToGrid w:val="0"/>
        </w:rPr>
        <w:t>O</w:t>
      </w:r>
      <w:r w:rsidRPr="00DB2D35">
        <w:rPr>
          <w:rFonts w:cstheme="minorHAnsi"/>
          <w:snapToGrid w:val="0"/>
        </w:rPr>
        <w:t xml:space="preserve">ffer should align with the requirements of the Terms of Reference and the applicant's </w:t>
      </w:r>
      <w:r>
        <w:rPr>
          <w:rFonts w:cstheme="minorHAnsi"/>
          <w:snapToGrid w:val="0"/>
        </w:rPr>
        <w:t>T</w:t>
      </w:r>
      <w:r w:rsidRPr="00DB2D35">
        <w:rPr>
          <w:rFonts w:cstheme="minorHAnsi"/>
          <w:snapToGrid w:val="0"/>
        </w:rPr>
        <w:t xml:space="preserve">echnical </w:t>
      </w:r>
      <w:r>
        <w:rPr>
          <w:rFonts w:cstheme="minorHAnsi"/>
          <w:snapToGrid w:val="0"/>
        </w:rPr>
        <w:t>O</w:t>
      </w:r>
      <w:r w:rsidRPr="00DB2D35">
        <w:rPr>
          <w:rFonts w:cstheme="minorHAnsi"/>
          <w:snapToGrid w:val="0"/>
        </w:rPr>
        <w:t>ffer and will include all expenses related to the performance of the tasks indicated in the Terms of Reference.</w:t>
      </w:r>
    </w:p>
    <w:p w:rsidR="00A84A7A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</w:p>
    <w:p w:rsidR="00A84A7A" w:rsidRDefault="00A84A7A" w:rsidP="00A84A7A">
      <w:pPr>
        <w:widowControl w:val="0"/>
        <w:spacing w:after="0" w:line="240" w:lineRule="auto"/>
        <w:jc w:val="both"/>
        <w:rPr>
          <w:rFonts w:cstheme="minorHAnsi"/>
          <w:bCs/>
        </w:rPr>
      </w:pPr>
      <w:r w:rsidRPr="00261CC7">
        <w:rPr>
          <w:rFonts w:cstheme="minorHAnsi"/>
          <w:bCs/>
        </w:rPr>
        <w:t xml:space="preserve">All the amounts stated in the Financial Offer are considered Gross Amounts, meaning Fee Before Tax. </w:t>
      </w:r>
    </w:p>
    <w:p w:rsidR="00A84A7A" w:rsidRDefault="00A84A7A" w:rsidP="00A84A7A">
      <w:pPr>
        <w:widowControl w:val="0"/>
        <w:spacing w:after="0" w:line="240" w:lineRule="auto"/>
        <w:jc w:val="both"/>
        <w:rPr>
          <w:rFonts w:cstheme="minorHAnsi"/>
          <w:bCs/>
        </w:rPr>
      </w:pPr>
    </w:p>
    <w:p w:rsidR="00A84A7A" w:rsidRDefault="00A84A7A" w:rsidP="00A84A7A">
      <w:pPr>
        <w:widowControl w:val="0"/>
        <w:spacing w:after="0" w:line="240" w:lineRule="auto"/>
        <w:jc w:val="both"/>
        <w:rPr>
          <w:rFonts w:cstheme="minorHAnsi"/>
          <w:bCs/>
        </w:rPr>
      </w:pPr>
      <w:r w:rsidRPr="00261CC7">
        <w:rPr>
          <w:rFonts w:cstheme="minorHAnsi"/>
          <w:bCs/>
        </w:rPr>
        <w:t>These amounts are subject to</w:t>
      </w:r>
      <w:r>
        <w:rPr>
          <w:rFonts w:cstheme="minorHAnsi"/>
          <w:bCs/>
        </w:rPr>
        <w:t>:</w:t>
      </w:r>
    </w:p>
    <w:p w:rsidR="00A84A7A" w:rsidRPr="00FC13A1" w:rsidRDefault="00A84A7A" w:rsidP="00A84A7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FC13A1">
        <w:rPr>
          <w:rFonts w:cstheme="minorHAnsi"/>
          <w:bCs/>
        </w:rPr>
        <w:t>12% Income Tax and 9% Medical Insurance for residents.</w:t>
      </w:r>
    </w:p>
    <w:p w:rsidR="00A84A7A" w:rsidRPr="00FC13A1" w:rsidRDefault="00A84A7A" w:rsidP="00A84A7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FC13A1">
        <w:rPr>
          <w:rFonts w:cstheme="minorHAnsi"/>
          <w:bCs/>
        </w:rPr>
        <w:t>12% Income Tax for non-residents.</w:t>
      </w: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b/>
          <w:snapToGrid w:val="0"/>
        </w:rPr>
      </w:pPr>
      <w:r w:rsidRPr="00DB2D35">
        <w:rPr>
          <w:rFonts w:cstheme="minorHAnsi"/>
          <w:b/>
          <w:snapToGrid w:val="0"/>
        </w:rPr>
        <w:t>ERRORS IN FINANCIAL OFFERS</w:t>
      </w: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  <w:r w:rsidRPr="00DB2D35">
        <w:rPr>
          <w:rFonts w:cstheme="minorHAnsi"/>
          <w:snapToGrid w:val="0"/>
        </w:rPr>
        <w:t xml:space="preserve">For </w:t>
      </w:r>
      <w:r>
        <w:rPr>
          <w:rFonts w:cstheme="minorHAnsi"/>
          <w:snapToGrid w:val="0"/>
        </w:rPr>
        <w:t>F</w:t>
      </w:r>
      <w:r w:rsidRPr="00DB2D35">
        <w:rPr>
          <w:rFonts w:cstheme="minorHAnsi"/>
          <w:snapToGrid w:val="0"/>
        </w:rPr>
        <w:t xml:space="preserve">inancial </w:t>
      </w:r>
      <w:r>
        <w:rPr>
          <w:rFonts w:cstheme="minorHAnsi"/>
          <w:snapToGrid w:val="0"/>
        </w:rPr>
        <w:t>O</w:t>
      </w:r>
      <w:r w:rsidRPr="00DB2D35">
        <w:rPr>
          <w:rFonts w:cstheme="minorHAnsi"/>
          <w:snapToGrid w:val="0"/>
        </w:rPr>
        <w:t>ffers that have been opened, the Soros Foundation Moldova checks and corrects arithmetical errors as follows:</w:t>
      </w:r>
    </w:p>
    <w:p w:rsidR="00A84A7A" w:rsidRPr="00FC13A1" w:rsidRDefault="00A84A7A" w:rsidP="00A84A7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</w:rPr>
      </w:pPr>
      <w:r w:rsidRPr="00FC13A1">
        <w:rPr>
          <w:rFonts w:cstheme="minorHAnsi"/>
          <w:snapToGrid w:val="0"/>
        </w:rPr>
        <w:t>if there is a discrepancy between the unit price and the line item total obtained by multiplying the unit price by the quantity, the unit price prevails and the line item total is corrected</w:t>
      </w:r>
    </w:p>
    <w:p w:rsidR="00A84A7A" w:rsidRPr="00FC13A1" w:rsidRDefault="00A84A7A" w:rsidP="00A84A7A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</w:rPr>
      </w:pPr>
      <w:r w:rsidRPr="00FC13A1">
        <w:rPr>
          <w:rFonts w:cstheme="minorHAnsi"/>
          <w:snapToGrid w:val="0"/>
        </w:rPr>
        <w:t>if there is an error in a total corresponding to the addition or subtraction of subtotals, the subtotals prevail and the total is corrected.</w:t>
      </w: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napToGrid w:val="0"/>
        </w:rPr>
      </w:pPr>
      <w:r w:rsidRPr="00DB2D35">
        <w:rPr>
          <w:rFonts w:cstheme="minorHAnsi"/>
          <w:snapToGrid w:val="0"/>
        </w:rPr>
        <w:t xml:space="preserve">If the applicant does not accept the correction of errors made by the Foundation, the proposal will be rejected. </w:t>
      </w:r>
    </w:p>
    <w:p w:rsidR="00A84A7A" w:rsidRDefault="00A84A7A" w:rsidP="00A84A7A">
      <w:pPr>
        <w:spacing w:after="0" w:line="240" w:lineRule="auto"/>
        <w:rPr>
          <w:rFonts w:cstheme="minorHAnsi"/>
          <w:snapToGrid w:val="0"/>
        </w:rPr>
      </w:pPr>
      <w:r>
        <w:rPr>
          <w:rFonts w:cstheme="minorHAnsi"/>
          <w:snapToGrid w:val="0"/>
        </w:rPr>
        <w:br w:type="page"/>
      </w: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4A7A" w:rsidRPr="00DB2D35" w:rsidRDefault="00A84A7A" w:rsidP="00A84A7A">
      <w:pPr>
        <w:widowControl w:val="0"/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</w:rPr>
      </w:pPr>
      <w:bookmarkStart w:id="4" w:name="_Toc52446183"/>
      <w:bookmarkStart w:id="5" w:name="_Toc68784979"/>
      <w:r w:rsidRPr="00DB2D35">
        <w:rPr>
          <w:rFonts w:cstheme="minorHAnsi"/>
          <w:b/>
          <w:bCs/>
        </w:rPr>
        <w:t>B2. FINANCIAL OFFER FORMAT</w:t>
      </w:r>
      <w:bookmarkEnd w:id="4"/>
      <w:bookmarkEnd w:id="5"/>
    </w:p>
    <w:p w:rsidR="00A84A7A" w:rsidRPr="00DB2D35" w:rsidRDefault="00A84A7A" w:rsidP="00A84A7A">
      <w:pPr>
        <w:widowControl w:val="0"/>
        <w:spacing w:after="0" w:line="240" w:lineRule="auto"/>
        <w:rPr>
          <w:rFonts w:cstheme="minorHAnsi"/>
          <w:b/>
        </w:rPr>
      </w:pPr>
    </w:p>
    <w:tbl>
      <w:tblPr>
        <w:tblW w:w="9074" w:type="dxa"/>
        <w:tblInd w:w="-5" w:type="dxa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4206"/>
        <w:gridCol w:w="819"/>
        <w:gridCol w:w="1874"/>
      </w:tblGrid>
      <w:tr w:rsidR="00A84A7A" w:rsidRPr="00DB2D35" w:rsidTr="00BA2070">
        <w:trPr>
          <w:trHeight w:val="851"/>
        </w:trPr>
        <w:tc>
          <w:tcPr>
            <w:tcW w:w="2175" w:type="dxa"/>
            <w:shd w:val="clear" w:color="auto" w:fill="FFFFFF" w:themeFill="background1"/>
          </w:tcPr>
          <w:p w:rsidR="00A84A7A" w:rsidRPr="00DB2D35" w:rsidRDefault="00A84A7A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  <w:t>Applicant:</w:t>
            </w:r>
          </w:p>
        </w:tc>
        <w:tc>
          <w:tcPr>
            <w:tcW w:w="4206" w:type="dxa"/>
          </w:tcPr>
          <w:p w:rsidR="00A84A7A" w:rsidRPr="00DB2D35" w:rsidRDefault="00A84A7A" w:rsidP="00BA2070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DB2D35">
              <w:rPr>
                <w:rFonts w:cstheme="minorHAnsi"/>
                <w:b/>
                <w:bCs/>
                <w:color w:val="000000" w:themeColor="text1"/>
              </w:rPr>
              <w:t>[To be completed by the applicant]</w:t>
            </w:r>
          </w:p>
        </w:tc>
        <w:tc>
          <w:tcPr>
            <w:tcW w:w="819" w:type="dxa"/>
            <w:shd w:val="clear" w:color="auto" w:fill="FFFFFF" w:themeFill="background1"/>
          </w:tcPr>
          <w:p w:rsidR="00A84A7A" w:rsidRPr="00DB2D35" w:rsidRDefault="00A84A7A" w:rsidP="00BA2070">
            <w:pPr>
              <w:widowControl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DB2D35">
              <w:rPr>
                <w:rFonts w:cstheme="minorHAnsi"/>
                <w:b/>
                <w:bCs/>
                <w:i/>
                <w:iCs/>
                <w:color w:val="000000" w:themeColor="text1"/>
              </w:rPr>
              <w:t>Date:</w:t>
            </w:r>
          </w:p>
        </w:tc>
        <w:tc>
          <w:tcPr>
            <w:tcW w:w="1874" w:type="dxa"/>
          </w:tcPr>
          <w:p w:rsidR="00A84A7A" w:rsidRPr="00DB2D35" w:rsidRDefault="00A84A7A" w:rsidP="00BA2070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1454398073"/>
                <w:placeholder>
                  <w:docPart w:val="3AD0F58859024F0A8E7694DB7B9BAB22"/>
                </w:placeholder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cstheme="minorHAnsi"/>
                    <w:b/>
                    <w:color w:val="000000" w:themeColor="text1"/>
                  </w:rPr>
                  <w:t>Select the date</w:t>
                </w:r>
              </w:sdtContent>
            </w:sdt>
          </w:p>
        </w:tc>
      </w:tr>
      <w:tr w:rsidR="00A84A7A" w:rsidRPr="00DB2D35" w:rsidTr="00BA2070">
        <w:trPr>
          <w:trHeight w:val="851"/>
        </w:trPr>
        <w:tc>
          <w:tcPr>
            <w:tcW w:w="2175" w:type="dxa"/>
            <w:shd w:val="clear" w:color="auto" w:fill="FFFFFF" w:themeFill="background1"/>
          </w:tcPr>
          <w:p w:rsidR="00A84A7A" w:rsidRPr="00DB2D35" w:rsidRDefault="00A84A7A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</w:pPr>
            <w:r w:rsidRPr="00DB2D35">
              <w:rPr>
                <w:rFonts w:eastAsia="Times New Roman" w:cstheme="minorHAnsi"/>
                <w:b/>
                <w:i/>
                <w:color w:val="000000" w:themeColor="text1"/>
                <w:spacing w:val="-2"/>
              </w:rPr>
              <w:t>RFP reference:</w:t>
            </w:r>
          </w:p>
        </w:tc>
        <w:tc>
          <w:tcPr>
            <w:tcW w:w="6899" w:type="dxa"/>
            <w:gridSpan w:val="3"/>
          </w:tcPr>
          <w:p w:rsidR="00A84A7A" w:rsidRDefault="00A84A7A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28"/>
              </w:rPr>
            </w:pPr>
            <w:r w:rsidRPr="00DB2D35">
              <w:rPr>
                <w:rFonts w:eastAsia="Times New Roman" w:cstheme="minorHAnsi"/>
                <w:b/>
                <w:bCs/>
                <w:kern w:val="28"/>
              </w:rPr>
              <w:t>2022.IPP.02</w:t>
            </w:r>
          </w:p>
          <w:p w:rsidR="00A84A7A" w:rsidRDefault="00A84A7A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kern w:val="28"/>
              </w:rPr>
            </w:pPr>
          </w:p>
          <w:p w:rsidR="00A84A7A" w:rsidRPr="00A330D2" w:rsidRDefault="00A84A7A" w:rsidP="00BA2070">
            <w:pPr>
              <w:tabs>
                <w:tab w:val="left" w:pos="60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pacing w:val="-2"/>
              </w:rPr>
            </w:pPr>
            <w:r>
              <w:rPr>
                <w:rFonts w:eastAsia="Times New Roman" w:cstheme="minorHAnsi"/>
                <w:b/>
                <w:bCs/>
                <w:kern w:val="28"/>
              </w:rPr>
              <w:t>PLEASE SECIFY THE LOT NR YOU APPLY FOR</w:t>
            </w:r>
          </w:p>
        </w:tc>
      </w:tr>
    </w:tbl>
    <w:p w:rsidR="00A84A7A" w:rsidRPr="00DB2D35" w:rsidRDefault="00A84A7A" w:rsidP="00A84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</w:rPr>
      </w:pPr>
      <w:r w:rsidRPr="00DB2D35">
        <w:rPr>
          <w:rFonts w:cstheme="minorHAnsi"/>
        </w:rPr>
        <w:t xml:space="preserve">I hereby propose to provide the services in accordance with your RFP No.2022.IPP.02 and my proposal. I present the proposal, which includes the </w:t>
      </w:r>
      <w:r>
        <w:rPr>
          <w:rFonts w:cstheme="minorHAnsi"/>
        </w:rPr>
        <w:t>T</w:t>
      </w:r>
      <w:r w:rsidRPr="00DB2D35">
        <w:rPr>
          <w:rFonts w:cstheme="minorHAnsi"/>
        </w:rPr>
        <w:t xml:space="preserve">echnical </w:t>
      </w:r>
      <w:r>
        <w:rPr>
          <w:rFonts w:cstheme="minorHAnsi"/>
        </w:rPr>
        <w:t>O</w:t>
      </w:r>
      <w:r w:rsidRPr="00DB2D35">
        <w:rPr>
          <w:rFonts w:cstheme="minorHAnsi"/>
        </w:rPr>
        <w:t xml:space="preserve">ffer and the </w:t>
      </w:r>
      <w:r>
        <w:rPr>
          <w:rFonts w:cstheme="minorHAnsi"/>
        </w:rPr>
        <w:t>F</w:t>
      </w:r>
      <w:r w:rsidRPr="00DB2D35">
        <w:rPr>
          <w:rFonts w:cstheme="minorHAnsi"/>
        </w:rPr>
        <w:t xml:space="preserve">inancial </w:t>
      </w:r>
      <w:r>
        <w:rPr>
          <w:rFonts w:cstheme="minorHAnsi"/>
        </w:rPr>
        <w:t>O</w:t>
      </w:r>
      <w:r w:rsidRPr="00DB2D35">
        <w:rPr>
          <w:rFonts w:cstheme="minorHAnsi"/>
        </w:rPr>
        <w:t>ffer, sent in separate files and separate emails.</w:t>
      </w:r>
    </w:p>
    <w:p w:rsidR="00A84A7A" w:rsidRPr="00DB2D35" w:rsidRDefault="00A84A7A" w:rsidP="00A84A7A">
      <w:pPr>
        <w:widowControl w:val="0"/>
        <w:spacing w:after="0" w:line="240" w:lineRule="auto"/>
        <w:rPr>
          <w:rFonts w:cstheme="minorHAnsi"/>
        </w:rPr>
      </w:pPr>
    </w:p>
    <w:p w:rsidR="00A84A7A" w:rsidRPr="007F338E" w:rsidRDefault="00A84A7A" w:rsidP="00A84A7A">
      <w:pPr>
        <w:widowControl w:val="0"/>
        <w:spacing w:after="0" w:line="240" w:lineRule="auto"/>
        <w:jc w:val="both"/>
        <w:rPr>
          <w:rFonts w:cstheme="minorHAnsi"/>
        </w:rPr>
      </w:pPr>
      <w:r w:rsidRPr="007F338E">
        <w:rPr>
          <w:rFonts w:cstheme="minorHAnsi"/>
        </w:rPr>
        <w:t>I declare that all information in this proposal is true and accept that any misinterpretation or misrepresentation contained in this proposal may result in my disqualification.</w:t>
      </w:r>
    </w:p>
    <w:p w:rsidR="00A84A7A" w:rsidRPr="00DB2D35" w:rsidRDefault="00A84A7A" w:rsidP="00A84A7A">
      <w:pPr>
        <w:widowControl w:val="0"/>
        <w:spacing w:after="0" w:line="240" w:lineRule="auto"/>
        <w:rPr>
          <w:rFonts w:cstheme="minorHAnsi"/>
        </w:rPr>
      </w:pP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</w:rPr>
      </w:pPr>
      <w:r w:rsidRPr="00DB2D35">
        <w:rPr>
          <w:rFonts w:cstheme="minorHAnsi"/>
        </w:rPr>
        <w:t>The services will be provided in accordance with the Application documents and with the Terms of Reference.</w:t>
      </w:r>
    </w:p>
    <w:p w:rsidR="00A84A7A" w:rsidRPr="00DB2D35" w:rsidRDefault="00A84A7A" w:rsidP="00A84A7A">
      <w:pPr>
        <w:widowControl w:val="0"/>
        <w:spacing w:after="0" w:line="240" w:lineRule="auto"/>
        <w:rPr>
          <w:rFonts w:cstheme="minorHAnsi"/>
          <w:b/>
        </w:rPr>
      </w:pPr>
    </w:p>
    <w:p w:rsidR="00A84A7A" w:rsidRPr="00DB2D35" w:rsidRDefault="00A84A7A" w:rsidP="00A84A7A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Proposal</w:t>
      </w:r>
      <w:r w:rsidRPr="00DB2D35">
        <w:rPr>
          <w:rFonts w:cstheme="minorHAnsi"/>
          <w:b/>
        </w:rPr>
        <w:t xml:space="preserve"> currency: USD</w:t>
      </w:r>
    </w:p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b/>
          <w:i/>
        </w:rPr>
      </w:pPr>
    </w:p>
    <w:p w:rsidR="00A84A7A" w:rsidRPr="00DB2D35" w:rsidRDefault="00A84A7A" w:rsidP="00A84A7A">
      <w:pPr>
        <w:widowControl w:val="0"/>
        <w:spacing w:after="0" w:line="240" w:lineRule="auto"/>
        <w:rPr>
          <w:rFonts w:cstheme="minorHAnsi"/>
          <w:b/>
        </w:rPr>
      </w:pPr>
      <w:r w:rsidRPr="00DB2D35">
        <w:rPr>
          <w:rFonts w:cstheme="minorHAnsi"/>
          <w:b/>
        </w:rPr>
        <w:t xml:space="preserve">Table: Financial </w:t>
      </w:r>
      <w:r>
        <w:rPr>
          <w:rFonts w:cstheme="minorHAnsi"/>
          <w:b/>
        </w:rPr>
        <w:t>O</w:t>
      </w:r>
      <w:r w:rsidRPr="00DB2D35">
        <w:rPr>
          <w:rFonts w:cstheme="minorHAnsi"/>
          <w:b/>
        </w:rPr>
        <w:t>ffer</w:t>
      </w:r>
    </w:p>
    <w:p w:rsidR="00A84A7A" w:rsidRPr="00DB2D35" w:rsidRDefault="00A84A7A" w:rsidP="00A84A7A">
      <w:pPr>
        <w:widowControl w:val="0"/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114"/>
        <w:gridCol w:w="1275"/>
        <w:gridCol w:w="1295"/>
        <w:gridCol w:w="1538"/>
      </w:tblGrid>
      <w:tr w:rsidR="00A84A7A" w:rsidRPr="00DB2D35" w:rsidTr="00BA2070">
        <w:trPr>
          <w:trHeight w:val="248"/>
        </w:trPr>
        <w:tc>
          <w:tcPr>
            <w:tcW w:w="846" w:type="dxa"/>
            <w:vMerge w:val="restart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4459" w:type="dxa"/>
            <w:vMerge w:val="restart"/>
            <w:vAlign w:val="center"/>
          </w:tcPr>
          <w:p w:rsidR="00A84A7A" w:rsidRPr="00DB2D35" w:rsidRDefault="00A84A7A" w:rsidP="00BA2070">
            <w:pPr>
              <w:widowControl w:val="0"/>
              <w:jc w:val="center"/>
              <w:rPr>
                <w:rFonts w:cstheme="minorHAnsi"/>
              </w:rPr>
            </w:pPr>
            <w:r w:rsidRPr="00DB2D35">
              <w:rPr>
                <w:rFonts w:cstheme="minorHAnsi"/>
              </w:rPr>
              <w:t>Services</w:t>
            </w:r>
          </w:p>
        </w:tc>
        <w:tc>
          <w:tcPr>
            <w:tcW w:w="1350" w:type="dxa"/>
            <w:vAlign w:val="center"/>
          </w:tcPr>
          <w:p w:rsidR="00A84A7A" w:rsidRPr="00DB2D35" w:rsidRDefault="00A84A7A" w:rsidP="00BA2070">
            <w:pPr>
              <w:widowControl w:val="0"/>
              <w:jc w:val="center"/>
              <w:rPr>
                <w:rFonts w:cstheme="minorHAnsi"/>
              </w:rPr>
            </w:pPr>
            <w:r w:rsidRPr="00DB2D35">
              <w:rPr>
                <w:rFonts w:cstheme="minorHAnsi"/>
              </w:rPr>
              <w:t>Fee rate</w:t>
            </w:r>
          </w:p>
        </w:tc>
        <w:tc>
          <w:tcPr>
            <w:tcW w:w="1368" w:type="dxa"/>
            <w:vAlign w:val="center"/>
          </w:tcPr>
          <w:p w:rsidR="00A84A7A" w:rsidRPr="00DB2D35" w:rsidRDefault="00A84A7A" w:rsidP="00BA2070">
            <w:pPr>
              <w:widowControl w:val="0"/>
              <w:jc w:val="center"/>
              <w:rPr>
                <w:rFonts w:cstheme="minorHAnsi"/>
              </w:rPr>
            </w:pPr>
            <w:proofErr w:type="spellStart"/>
            <w:r w:rsidRPr="00DB2D35">
              <w:rPr>
                <w:rFonts w:cstheme="minorHAnsi"/>
              </w:rPr>
              <w:t>Nr</w:t>
            </w:r>
            <w:proofErr w:type="spellEnd"/>
            <w:r w:rsidRPr="00DB2D35">
              <w:rPr>
                <w:rFonts w:cstheme="minorHAnsi"/>
              </w:rPr>
              <w:t>. of days</w:t>
            </w:r>
          </w:p>
        </w:tc>
        <w:tc>
          <w:tcPr>
            <w:tcW w:w="1605" w:type="dxa"/>
            <w:vAlign w:val="center"/>
          </w:tcPr>
          <w:p w:rsidR="00A84A7A" w:rsidRPr="00DB2D35" w:rsidRDefault="00A84A7A" w:rsidP="00BA2070">
            <w:pPr>
              <w:widowControl w:val="0"/>
              <w:jc w:val="center"/>
              <w:rPr>
                <w:rFonts w:cstheme="minorHAnsi"/>
              </w:rPr>
            </w:pPr>
            <w:r w:rsidRPr="00DB2D35">
              <w:rPr>
                <w:rFonts w:cstheme="minorHAnsi"/>
              </w:rPr>
              <w:t>Total amount</w:t>
            </w:r>
          </w:p>
        </w:tc>
      </w:tr>
      <w:tr w:rsidR="00A84A7A" w:rsidRPr="00DB2D35" w:rsidTr="00BA2070">
        <w:trPr>
          <w:trHeight w:val="247"/>
        </w:trPr>
        <w:tc>
          <w:tcPr>
            <w:tcW w:w="846" w:type="dxa"/>
            <w:vMerge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4459" w:type="dxa"/>
            <w:vMerge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:rsidR="00A84A7A" w:rsidRPr="00DB2D35" w:rsidDel="007E181C" w:rsidRDefault="00A84A7A" w:rsidP="00BA2070">
            <w:pPr>
              <w:widowControl w:val="0"/>
              <w:jc w:val="center"/>
              <w:rPr>
                <w:rFonts w:cstheme="minorHAnsi"/>
              </w:rPr>
            </w:pPr>
            <w:r w:rsidRPr="00DB2D35">
              <w:rPr>
                <w:rFonts w:cstheme="minorHAnsi"/>
              </w:rPr>
              <w:t>A</w:t>
            </w:r>
          </w:p>
        </w:tc>
        <w:tc>
          <w:tcPr>
            <w:tcW w:w="1368" w:type="dxa"/>
            <w:vAlign w:val="center"/>
          </w:tcPr>
          <w:p w:rsidR="00A84A7A" w:rsidRPr="00DB2D35" w:rsidRDefault="00A84A7A" w:rsidP="00BA2070">
            <w:pPr>
              <w:widowControl w:val="0"/>
              <w:jc w:val="center"/>
              <w:rPr>
                <w:rFonts w:cstheme="minorHAnsi"/>
              </w:rPr>
            </w:pPr>
            <w:r w:rsidRPr="00DB2D35">
              <w:rPr>
                <w:rFonts w:cstheme="minorHAnsi"/>
              </w:rPr>
              <w:t>B</w:t>
            </w:r>
          </w:p>
        </w:tc>
        <w:tc>
          <w:tcPr>
            <w:tcW w:w="1605" w:type="dxa"/>
            <w:vAlign w:val="center"/>
          </w:tcPr>
          <w:p w:rsidR="00A84A7A" w:rsidRPr="00DB2D35" w:rsidRDefault="00A84A7A" w:rsidP="00BA2070">
            <w:pPr>
              <w:widowControl w:val="0"/>
              <w:jc w:val="center"/>
              <w:rPr>
                <w:rFonts w:cstheme="minorHAnsi"/>
              </w:rPr>
            </w:pPr>
            <w:r w:rsidRPr="00DB2D35">
              <w:rPr>
                <w:rFonts w:cstheme="minorHAnsi"/>
              </w:rPr>
              <w:t>C=</w:t>
            </w:r>
            <w:proofErr w:type="spellStart"/>
            <w:r w:rsidRPr="00DB2D35">
              <w:rPr>
                <w:rFonts w:cstheme="minorHAnsi"/>
              </w:rPr>
              <w:t>AxB</w:t>
            </w:r>
            <w:proofErr w:type="spellEnd"/>
          </w:p>
        </w:tc>
      </w:tr>
      <w:tr w:rsidR="00A84A7A" w:rsidRPr="00DB2D35" w:rsidTr="00BA2070">
        <w:tc>
          <w:tcPr>
            <w:tcW w:w="846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  <w:r w:rsidRPr="00DB2D35">
              <w:rPr>
                <w:rFonts w:cstheme="minorHAnsi"/>
              </w:rPr>
              <w:t>1</w:t>
            </w:r>
          </w:p>
        </w:tc>
        <w:tc>
          <w:tcPr>
            <w:tcW w:w="4459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</w:tr>
      <w:tr w:rsidR="00A84A7A" w:rsidRPr="00DB2D35" w:rsidTr="00BA2070">
        <w:tc>
          <w:tcPr>
            <w:tcW w:w="846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  <w:r w:rsidRPr="00DB2D35">
              <w:rPr>
                <w:rFonts w:cstheme="minorHAnsi"/>
              </w:rPr>
              <w:t>2</w:t>
            </w:r>
          </w:p>
        </w:tc>
        <w:tc>
          <w:tcPr>
            <w:tcW w:w="4459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</w:tr>
      <w:tr w:rsidR="00A84A7A" w:rsidRPr="00DB2D35" w:rsidTr="00BA2070">
        <w:tc>
          <w:tcPr>
            <w:tcW w:w="846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  <w:r w:rsidRPr="00DB2D35">
              <w:rPr>
                <w:rFonts w:cstheme="minorHAnsi"/>
              </w:rPr>
              <w:t>3</w:t>
            </w:r>
          </w:p>
        </w:tc>
        <w:tc>
          <w:tcPr>
            <w:tcW w:w="4459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</w:tr>
      <w:tr w:rsidR="00A84A7A" w:rsidRPr="00DB2D35" w:rsidTr="00BA2070">
        <w:tc>
          <w:tcPr>
            <w:tcW w:w="846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  <w:r w:rsidRPr="00DB2D35">
              <w:rPr>
                <w:rFonts w:cstheme="minorHAnsi"/>
              </w:rPr>
              <w:t>4</w:t>
            </w:r>
          </w:p>
        </w:tc>
        <w:tc>
          <w:tcPr>
            <w:tcW w:w="4459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50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368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</w:tr>
      <w:tr w:rsidR="00A84A7A" w:rsidRPr="00DB2D35" w:rsidTr="00BA2070">
        <w:tc>
          <w:tcPr>
            <w:tcW w:w="8023" w:type="dxa"/>
            <w:gridSpan w:val="4"/>
            <w:vAlign w:val="center"/>
          </w:tcPr>
          <w:p w:rsidR="00A84A7A" w:rsidRPr="00DB2D35" w:rsidRDefault="00A84A7A" w:rsidP="00BA2070">
            <w:pPr>
              <w:widowControl w:val="0"/>
              <w:jc w:val="center"/>
              <w:rPr>
                <w:rFonts w:cstheme="minorHAnsi"/>
              </w:rPr>
            </w:pPr>
            <w:r w:rsidRPr="00DB2D35">
              <w:rPr>
                <w:rFonts w:cstheme="minorHAnsi"/>
              </w:rPr>
              <w:t>Total</w:t>
            </w:r>
          </w:p>
        </w:tc>
        <w:tc>
          <w:tcPr>
            <w:tcW w:w="1605" w:type="dxa"/>
          </w:tcPr>
          <w:p w:rsidR="00A84A7A" w:rsidRPr="00DB2D35" w:rsidRDefault="00A84A7A" w:rsidP="00BA2070">
            <w:pPr>
              <w:widowControl w:val="0"/>
              <w:rPr>
                <w:rFonts w:cstheme="minorHAnsi"/>
              </w:rPr>
            </w:pPr>
          </w:p>
        </w:tc>
      </w:tr>
    </w:tbl>
    <w:p w:rsidR="00A84A7A" w:rsidRPr="00DB2D35" w:rsidRDefault="00A84A7A" w:rsidP="00A84A7A">
      <w:pPr>
        <w:widowControl w:val="0"/>
        <w:spacing w:after="0" w:line="240" w:lineRule="auto"/>
        <w:jc w:val="both"/>
        <w:rPr>
          <w:rFonts w:cstheme="minorHAnsi"/>
          <w:bCs/>
          <w:i/>
          <w:iCs/>
        </w:rPr>
      </w:pPr>
      <w:r w:rsidRPr="00DB2D35">
        <w:rPr>
          <w:rFonts w:cstheme="minorHAnsi"/>
          <w:bCs/>
          <w:i/>
          <w:iCs/>
        </w:rPr>
        <w:t>Note: Additional lines can be added if necessary</w:t>
      </w: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The undersigned certifies that he</w:t>
      </w:r>
      <w:r>
        <w:rPr>
          <w:rFonts w:cstheme="minorHAnsi"/>
          <w:color w:val="000000" w:themeColor="text1"/>
        </w:rPr>
        <w:t>/she</w:t>
      </w:r>
      <w:r w:rsidRPr="00DB2D35">
        <w:rPr>
          <w:rFonts w:cstheme="minorHAnsi"/>
          <w:color w:val="000000" w:themeColor="text1"/>
        </w:rPr>
        <w:t xml:space="preserve"> is duly authorized to sign this proposal and undertakes to execute it if the Institute accepts this proposal.</w:t>
      </w: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I understand and acknowledge that you are under no obligation to accept any proposal that you receive.</w:t>
      </w: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Name: ________________________________________</w:t>
      </w: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A84A7A" w:rsidRPr="00DB2D35" w:rsidRDefault="00A84A7A" w:rsidP="00A84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DB2D35">
        <w:rPr>
          <w:rFonts w:cstheme="minorHAnsi"/>
          <w:color w:val="000000" w:themeColor="text1"/>
        </w:rPr>
        <w:t>Date and signature: ________________________________________</w:t>
      </w:r>
    </w:p>
    <w:p w:rsidR="00500866" w:rsidRDefault="00A84A7A">
      <w:bookmarkStart w:id="6" w:name="_GoBack"/>
      <w:bookmarkEnd w:id="6"/>
    </w:p>
    <w:sectPr w:rsidR="0050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D6A"/>
    <w:multiLevelType w:val="hybridMultilevel"/>
    <w:tmpl w:val="4DCCE16E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41EE"/>
    <w:multiLevelType w:val="hybridMultilevel"/>
    <w:tmpl w:val="EDB60B40"/>
    <w:lvl w:ilvl="0" w:tplc="65469A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7A"/>
    <w:rsid w:val="001F0259"/>
    <w:rsid w:val="00482948"/>
    <w:rsid w:val="00A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84B7-9D04-4334-802B-5DEAD01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7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A84A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0F58859024F0A8E7694DB7B9B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B3B7-41CB-41CF-A2D8-C4D3B0872ACA}"/>
      </w:docPartPr>
      <w:docPartBody>
        <w:p w:rsidR="00000000" w:rsidRDefault="00D3026A" w:rsidP="00D3026A">
          <w:pPr>
            <w:pStyle w:val="3AD0F58859024F0A8E7694DB7B9BAB22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6A"/>
    <w:rsid w:val="00D3026A"/>
    <w:rsid w:val="00D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3026A"/>
    <w:rPr>
      <w:color w:val="808080"/>
    </w:rPr>
  </w:style>
  <w:style w:type="paragraph" w:customStyle="1" w:styleId="3AD0F58859024F0A8E7694DB7B9BAB22">
    <w:name w:val="3AD0F58859024F0A8E7694DB7B9BAB22"/>
    <w:rsid w:val="00D30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2022-11-19T10:50:00Z</dcterms:created>
  <dcterms:modified xsi:type="dcterms:W3CDTF">2022-11-19T10:51:00Z</dcterms:modified>
</cp:coreProperties>
</file>